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1"/>
        <w:gridCol w:w="7739"/>
      </w:tblGrid>
      <w:tr w:rsidR="00AF1987" w:rsidRPr="00AF1987" w:rsidTr="00AF1987">
        <w:trPr>
          <w:gridAfter w:val="1"/>
        </w:trPr>
        <w:tc>
          <w:tcPr>
            <w:tcW w:w="0" w:type="auto"/>
            <w:vAlign w:val="center"/>
            <w:hideMark/>
          </w:tcPr>
          <w:p w:rsidR="00AF1987" w:rsidRPr="00AF1987" w:rsidRDefault="00AF1987" w:rsidP="00AF19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F1987">
              <w:rPr>
                <w:rFonts w:ascii="Tahoma" w:eastAsia="Times New Roman" w:hAnsi="Tahoma" w:cs="Tahoma"/>
                <w:sz w:val="20"/>
                <w:szCs w:val="20"/>
                <w:rtl/>
              </w:rPr>
              <w:t>موضوع مقاله</w:t>
            </w:r>
            <w:r w:rsidRPr="00AF1987">
              <w:rPr>
                <w:rFonts w:ascii="Tahoma" w:eastAsia="Times New Roman" w:hAnsi="Tahoma" w:cs="Tahoma"/>
                <w:sz w:val="20"/>
                <w:szCs w:val="20"/>
              </w:rPr>
              <w:t xml:space="preserve"> :</w:t>
            </w:r>
            <w:bookmarkStart w:id="0" w:name="_GoBack"/>
            <w:r w:rsidRPr="00AF198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اهمیت حق و حقوق ایتام در قرآن</w:t>
            </w:r>
            <w:bookmarkEnd w:id="0"/>
            <w:r w:rsidRPr="00AF1987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</w:p>
        </w:tc>
      </w:tr>
      <w:tr w:rsidR="00AF1987" w:rsidRPr="00AF1987" w:rsidTr="00AF1987">
        <w:tc>
          <w:tcPr>
            <w:tcW w:w="0" w:type="auto"/>
            <w:vAlign w:val="center"/>
            <w:hideMark/>
          </w:tcPr>
          <w:p w:rsidR="00AF1987" w:rsidRPr="00AF1987" w:rsidRDefault="00AF1987" w:rsidP="00AF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1987" w:rsidRPr="00AF1987" w:rsidRDefault="00AF1987" w:rsidP="00AF1987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  <w:r w:rsidRPr="00AF1987">
              <w:rPr>
                <w:rFonts w:ascii="Tahoma" w:eastAsia="Times New Roman" w:hAnsi="Tahoma" w:cs="Tahoma"/>
                <w:sz w:val="20"/>
                <w:szCs w:val="20"/>
                <w:rtl/>
              </w:rPr>
              <w:t>نویسنده</w:t>
            </w:r>
            <w:r w:rsidRPr="00AF1987">
              <w:rPr>
                <w:rFonts w:ascii="Tahoma" w:eastAsia="Times New Roman" w:hAnsi="Tahoma" w:cs="Tahoma"/>
                <w:sz w:val="20"/>
                <w:szCs w:val="20"/>
              </w:rPr>
              <w:t xml:space="preserve"> :</w:t>
            </w:r>
            <w:r w:rsidRPr="00AF1987">
              <w:rPr>
                <w:rFonts w:ascii="Tahoma" w:eastAsia="Times New Roman" w:hAnsi="Tahoma" w:cs="Tahoma"/>
                <w:b/>
                <w:bCs/>
                <w:sz w:val="20"/>
                <w:szCs w:val="20"/>
                <w:rtl/>
              </w:rPr>
              <w:t>سیدمحمدحسینی</w:t>
            </w:r>
            <w:r w:rsidRPr="00AF1987">
              <w:rPr>
                <w:rFonts w:ascii="Tahoma" w:eastAsia="Times New Roman" w:hAnsi="Tahoma" w:cs="Tahoma"/>
                <w:sz w:val="20"/>
                <w:szCs w:val="20"/>
                <w:rtl/>
              </w:rPr>
              <w:t xml:space="preserve"> </w:t>
            </w:r>
          </w:p>
        </w:tc>
      </w:tr>
      <w:tr w:rsidR="00AF1987" w:rsidRPr="00AF1987" w:rsidTr="00AF1987">
        <w:tc>
          <w:tcPr>
            <w:tcW w:w="0" w:type="auto"/>
            <w:vAlign w:val="center"/>
            <w:hideMark/>
          </w:tcPr>
          <w:p w:rsidR="00AF1987" w:rsidRPr="00AF1987" w:rsidRDefault="00AF1987" w:rsidP="00AF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AF1987" w:rsidRPr="00AF1987" w:rsidRDefault="00AF1987" w:rsidP="00AF19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1987" w:rsidRPr="00AF1987" w:rsidRDefault="00AF1987" w:rsidP="00AF1987">
            <w:pPr>
              <w:spacing w:before="100" w:beforeAutospacing="1" w:after="100" w:afterAutospacing="1" w:line="450" w:lineRule="atLeast"/>
              <w:jc w:val="right"/>
              <w:rPr>
                <w:rFonts w:ascii="Tahoma" w:eastAsia="Times New Roman" w:hAnsi="Tahoma" w:cs="Tahoma"/>
                <w:sz w:val="20"/>
                <w:szCs w:val="20"/>
              </w:rPr>
            </w:pPr>
            <w:r w:rsidRPr="00AF1987">
              <w:rPr>
                <w:rFonts w:ascii="Tahoma" w:eastAsia="Times New Roman" w:hAnsi="Tahoma" w:cs="Tahoma"/>
                <w:sz w:val="20"/>
                <w:szCs w:val="20"/>
              </w:rPr>
              <w:t xml:space="preserve"> 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قرآن درباره حفظ حقوق یتیم و مراعات حال او و رسیدگی و تكفّل امور یتیمان سفارش فراوان كرده است. ولی چون احتمال لغزش مالی و سوء استفاده كردن از اموال یتیمان بسیار است، لذا هشدار بیشتری لازم است، به گونه ای كه از نزدیك شدن به آن نیز نهی شده و تصرّف ظالمانه در اموال یتیمان، خوردن آتش شمرده شده است...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آیه 34 سوره اسراء «وَلَا تَقْرَبُواْ مَالَ الْیَتِیمِ إِلَّا بِالَّتِی هِیَ أَحْسَنُ حَتَّی یَبْلُغَ أَشُدَّهُ وَ أَوْفُواْ بِالْعَهْدِ إِنَّ الْعَهْدَ كَانَ مَسْئُولاً 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و به مال یتیم، جز به بهترین راه (كه به نفع یتیم باشد) نزدیك نشوید، تا آنكه به حدّ بلوغ و رشدش برسد (آنگاه اموالش را به او بر می گردانید) .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 به پیمان وفا كنید، كه (در قیامت) از عهد و پیمان س</w:t>
            </w:r>
            <w:r w:rsidRPr="00AF1987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ۆ</w:t>
            </w: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ال خواهد شد.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نكته ها: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كلمه ی «اَشُدّ» از «شَدّ»، به معنای استحكام و رشد است در اینجا منظور مرحله ی رشد یتیم و استحكام جسمی و روحی در حفظ اموالش می باشد.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>قرآن درباره حفظ حقوق یتیم و مراعات حال او و رسیدگی و تكفّل امور یتیمان سفارش فراوان كرده است. ولی چون احتمال لغزش مالی و سوء استفاده كردن از اموال یتیمان بسیار است، لذا هشدار بیشتری لازم است، به گونه ای كه از نزدیك شدن به آن نیز نهی شده و تصرّف ظالمانه در اموال یتیمان، خوردن آتش شمرده شده است. [1]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وقتی این آیه نازل شد، مسلمانان از حضور بر سر سفره ی ایتام كناره گرفتند و آنان را منزوی ساختند. آیه ی دیگری نازل شد كه مراد از نزدیک نشدن، سوءاستفاده است، والاّ افراد مصلح نباید به بهانه ی تقوا، یتیمان را رها كنند. «و ان تخالطوهم فاخوانكم واللّه یعلم المفسد من المصلح» [2]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در حدیث می خوانیم: مراد از عهد و پیمانی كه مورد س</w:t>
            </w:r>
            <w:r w:rsidRPr="00AF1987">
              <w:rPr>
                <w:rFonts w:ascii="Times New Roman" w:eastAsia="Times New Roman" w:hAnsi="Times New Roman" w:cs="Times New Roman" w:hint="cs"/>
                <w:b/>
                <w:bCs/>
                <w:rtl/>
                <w:lang w:bidi="fa-IR"/>
              </w:rPr>
              <w:t>ۆ</w:t>
            </w: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ال است، محبّت و دوستی و اطاعت از علیّ علیه السلام است.[3]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پیام ها: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1- اسلام، پشتیبان محرومان، ضعیفان و یتیمان است. «لاتقربوا مال الیتیم»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2- هر جا احتمال سوءاستفاده باشد، باید بیشتر سفارش كرد. [4] «لا تقربوا مال الیتیم»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3- كودكان، حقّ مالكیّت دارند. «مال الیتیم»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4- جاذبه ی مال به قدری زیاد است كه نزدیک شدن به آن هم گاهی گناه و حرمت را در پی دارد. «و لا تقربوا مال. . . 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lastRenderedPageBreak/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5- ارث یكی از اسباب مالكیّت است. «مال الیتیم»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مسائل داد وستد و رعایت حقوق مردم در معاملات، چنان مهم است كه قرآن بارها بر آن تأكید كرده وبزرگ ترین آیه قرآن، مربوط به آن و سوره ای به نام «مطففّین» (كم فروشان) نام نهاده شده است. اوّلین دعوت بعضی پیامبران، همچون شعیب علیه السلام نیز ترك كم فروشی بوده است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6- تصرّف در مال یتیم مشروط به رعایت بالاترین و پرثمرترین شیوه هاست. (اگر منافع یتیم در گردش مال اوست، باید آن را به كار انداخت، نه آنكه بی تفاوت ماند. ) «لاتقربوا. . . الاّ بالّتی هی احسن»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7- در تصمیم گیری های مالی، باید منافع و مصالح یتیمان مراعات شود. «الاّ بالّتی هی احسن»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8- تصرّف نابجا و حیف و میل اموال یتیمان، ممنوع است. «لاتقربوا. . . الاّ بالّتی هی احسن»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9- زمان واگذاری مال یتیم به خود او، وقتی است كه به بلوغ فكری و اقتصادی و جسمی برسد. «حتّی یبلغ اشدّه»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10- به پیمان ها- هرچه و با هر كه باشد- وفادار باشیم. «اوفوا بالعهد»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11- توجّه به مسئولیّت، انسان را از گناه باز می دارد. «اِنّ العهد كان مسئولا»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آیه 35سوره اسراء « وَ أَوْفُواْ الْكَیْلَ إِذَا كِلْتُمْ وَزِنُواْ بِالْقِسْطاسِ الْمُسْتَقِیمِ ذَلِكَ خَیْرٌ وَ أَحْسَنُ تَأْوِیلاً»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lastRenderedPageBreak/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و چون با پیمانه داد و ستد كنید، پیمانه را تمام دهید و با ترازوی درست وزن كنید كه این بهتر و سرانجامش نیكوتر است.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نكته ها: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>«قِسطاس» ، از تركیب دو كلمه ی «قِسط» به معنای عدل و «طاس» به معنای كفه ی ترازو می باشد. [5] در حدیث آمده است: امام معصوم، نمونه و مصداق «قسطاس مستقیم» در جامعه ی اسلامی است. [6]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مسائل داد وستد و رعایت حقوق مردم در معاملات، چنان مهم است كه قرآن بارها بر آن تأكید كرده وبزرگ ترین آیه قرآن، [7] مربوط به آن و سوره ای به نام «مطففّین» (كم فروشان) نام نهاده شده است. اوّلین دعوت بعضی پیامبران، همچون شعیب علیه السلام نیز ترك كم فروشی بوده است. [8]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جاذبه ی مال به قدری زیاد است كه نزدیک شدن به آن هم گاهی گناه و حرمت را در پی دارد. «و لا تقربوا مال. . . 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پیام ها: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1- بازار مسلمانان، باید از تقلّب و كم فروشی دور و فروشنده باید امین، دقیق، درستكار و با حساب و كتاب باشد. «اوفوا الكیل»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2- ایفای كیل و پیمانه ی صحیح، از نمونه های وفای به پیمان است (كه در آیه ی قبل گذشت) ، زیرا معامله، نوعی تعهّد است. «اوفوا بالعهد. . . اوفوا الكیل»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lastRenderedPageBreak/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3- ترازو و وسایل سنجش و محاسبات تجاری، باید سالم و دقیق باشد. «وزنوا بالقسطاس المستقیم»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4- دقّت در ترازو، وزن و محاسبات، عامل خیر وبركت است و كم فروشی، خیر و بركت را می برد. «ذلك خیرٌ»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5- فلسفه ی فرمان های الهی، خیر خود انسان هاست. «اوفوا، زنوا. . . ذلك خیر»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6- درستكاری اقتصادی، برتر از دارایی و كسب مال از راه كم فروشی است. نتیجه دادوستد درست و رعایت حقوق مردم، به خود انسان باز می گردد، چون ایجاد اعتماد می كند، ولی كم فروشی و نادرست بودن میزان و حساب، جامعه را به فساد مالی و سلب اعتماد می كشاند. پس پایان و پیامد خوب، در گرو درستكاری است. «ذلك خیر»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7- كسب و كار صحیح، موجب خوش عاقبتی است. «احسن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تأویلاً» (كم فروش گرچه به سود موّقت می رسد، ولی از دست دادن اعتبار دنیوی، نابسامانی اقتصادی و روانی جامعه و فراهم شدن عذاب اخروی، كار او را بدفرجام می كند. )  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پی نوشت ها :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lastRenderedPageBreak/>
              <w:t xml:space="preserve">[1] . نساء، 10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[2] . بقره، 220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[3] . بحار، ج 24، ص 187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[4] . به همین دلیل، حضرت علی علیه السلام در نهج البلاغه، در مورد رعایت حقوق اجیر، كشاورز، زن و یتیم، سفارش بیشتری كرده است. مانند: «اللّه اللّه فی الایتام» نهج البلاغه، نامه 47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[5] . تفسیر المیزان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[6] . بحار، ج 24، ص 187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[7] . بقره، 282 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F1987">
              <w:rPr>
                <w:rFonts w:ascii="Times New Roman" w:eastAsia="Times New Roman" w:hAnsi="Times New Roman" w:cs="B Nazanin"/>
                <w:b/>
                <w:bCs/>
                <w:lang w:bidi="fa-IR"/>
              </w:rPr>
              <w:t> </w:t>
            </w:r>
          </w:p>
          <w:p w:rsidR="00AF1987" w:rsidRPr="00AF1987" w:rsidRDefault="00AF1987" w:rsidP="00AF1987">
            <w:pPr>
              <w:tabs>
                <w:tab w:val="left" w:pos="2457"/>
              </w:tabs>
              <w:bidi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987">
              <w:rPr>
                <w:rFonts w:ascii="Times New Roman" w:eastAsia="Times New Roman" w:hAnsi="Times New Roman" w:cs="B Nazanin" w:hint="cs"/>
                <w:b/>
                <w:bCs/>
                <w:rtl/>
                <w:lang w:bidi="fa-IR"/>
              </w:rPr>
              <w:t xml:space="preserve">[8] . شعراء، 181- 183  </w:t>
            </w:r>
          </w:p>
        </w:tc>
      </w:tr>
    </w:tbl>
    <w:p w:rsidR="00E00156" w:rsidRDefault="00AF1987"/>
    <w:sectPr w:rsidR="00E001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87"/>
    <w:rsid w:val="005E37C5"/>
    <w:rsid w:val="008603CE"/>
    <w:rsid w:val="00A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9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1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F1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2015-08-19T10:42:00Z</dcterms:created>
  <dcterms:modified xsi:type="dcterms:W3CDTF">2015-08-19T10:43:00Z</dcterms:modified>
</cp:coreProperties>
</file>